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85915">
      <w:pPr>
        <w:keepNext/>
        <w:keepLines/>
        <w:pageBreakBefore w:val="0"/>
        <w:tabs>
          <w:tab w:val="left" w:pos="0"/>
          <w:tab w:val="left" w:pos="3165"/>
          <w:tab w:val="center" w:pos="4153"/>
        </w:tabs>
        <w:kinsoku/>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color w:val="333333"/>
          <w:sz w:val="32"/>
          <w:szCs w:val="32"/>
          <w:lang w:val="en-US" w:eastAsia="zh-CN"/>
        </w:rPr>
      </w:pPr>
      <w:bookmarkStart w:id="32" w:name="_GoBack"/>
      <w:bookmarkStart w:id="0" w:name="_Toc23468"/>
      <w:r>
        <w:rPr>
          <w:rFonts w:hint="eastAsia" w:ascii="宋体" w:hAnsi="宋体" w:eastAsia="宋体" w:cs="宋体"/>
          <w:b/>
          <w:color w:val="333333"/>
          <w:sz w:val="32"/>
          <w:szCs w:val="32"/>
          <w:lang w:val="en-US" w:eastAsia="zh-CN"/>
        </w:rPr>
        <w:t>2023-2024年工程项目造价咨询服务</w:t>
      </w:r>
    </w:p>
    <w:p w14:paraId="6738A1AE">
      <w:pPr>
        <w:keepNext/>
        <w:keepLines/>
        <w:pageBreakBefore w:val="0"/>
        <w:tabs>
          <w:tab w:val="left" w:pos="0"/>
          <w:tab w:val="left" w:pos="3165"/>
          <w:tab w:val="center" w:pos="4153"/>
        </w:tabs>
        <w:kinsoku/>
        <w:overflowPunct/>
        <w:topLinePunct w:val="0"/>
        <w:autoSpaceDE w:val="0"/>
        <w:autoSpaceDN w:val="0"/>
        <w:bidi w:val="0"/>
        <w:adjustRightInd w:val="0"/>
        <w:snapToGrid/>
        <w:spacing w:line="360" w:lineRule="auto"/>
        <w:jc w:val="center"/>
        <w:textAlignment w:val="auto"/>
        <w:outlineLvl w:val="0"/>
        <w:rPr>
          <w:rFonts w:ascii="华文中宋" w:hAnsi="华文中宋" w:eastAsia="华文中宋"/>
          <w:b/>
          <w:kern w:val="44"/>
          <w:sz w:val="36"/>
          <w:szCs w:val="36"/>
        </w:rPr>
      </w:pPr>
      <w:r>
        <w:rPr>
          <w:rFonts w:hint="eastAsia" w:ascii="华文中宋" w:hAnsi="华文中宋" w:eastAsia="华文中宋"/>
          <w:b/>
          <w:kern w:val="44"/>
          <w:sz w:val="36"/>
          <w:szCs w:val="36"/>
        </w:rPr>
        <w:t>招标</w:t>
      </w:r>
      <w:bookmarkEnd w:id="32"/>
      <w:r>
        <w:rPr>
          <w:rFonts w:hint="eastAsia" w:ascii="华文中宋" w:hAnsi="华文中宋" w:eastAsia="华文中宋"/>
          <w:b/>
          <w:kern w:val="44"/>
          <w:sz w:val="36"/>
          <w:szCs w:val="36"/>
        </w:rPr>
        <w:t>公告</w:t>
      </w:r>
      <w:bookmarkEnd w:id="0"/>
    </w:p>
    <w:p w14:paraId="59A242C7">
      <w:pPr>
        <w:pageBreakBefore w:val="0"/>
        <w:pBdr>
          <w:top w:val="single" w:color="auto" w:sz="4" w:space="1"/>
          <w:left w:val="single" w:color="auto" w:sz="4" w:space="4"/>
          <w:bottom w:val="single" w:color="auto" w:sz="4" w:space="1"/>
          <w:right w:val="single" w:color="auto" w:sz="4" w:space="4"/>
        </w:pBdr>
        <w:kinsoku/>
        <w:overflowPunct/>
        <w:topLinePunct w:val="0"/>
        <w:bidi w:val="0"/>
        <w:snapToGrid/>
        <w:spacing w:line="360" w:lineRule="auto"/>
        <w:ind w:firstLine="482" w:firstLineChars="200"/>
        <w:textAlignment w:val="auto"/>
        <w:rPr>
          <w:rFonts w:ascii="仿宋" w:hAnsi="仿宋" w:eastAsia="仿宋"/>
          <w:b/>
          <w:sz w:val="24"/>
          <w:szCs w:val="24"/>
        </w:rPr>
      </w:pPr>
      <w:r>
        <w:rPr>
          <w:rFonts w:hint="eastAsia" w:ascii="仿宋" w:hAnsi="仿宋" w:eastAsia="仿宋"/>
          <w:b/>
          <w:sz w:val="24"/>
          <w:szCs w:val="24"/>
        </w:rPr>
        <w:t>项目概况</w:t>
      </w:r>
    </w:p>
    <w:p w14:paraId="1EF51ED2">
      <w:pPr>
        <w:pageBreakBefore w:val="0"/>
        <w:pBdr>
          <w:top w:val="single" w:color="auto" w:sz="4" w:space="1"/>
          <w:left w:val="single" w:color="auto" w:sz="4" w:space="4"/>
          <w:bottom w:val="single" w:color="auto" w:sz="4" w:space="1"/>
          <w:right w:val="single" w:color="auto" w:sz="4" w:space="4"/>
        </w:pBdr>
        <w:kinsoku/>
        <w:overflowPunct/>
        <w:topLinePunct w:val="0"/>
        <w:bidi w:val="0"/>
        <w:snapToGrid/>
        <w:spacing w:line="360" w:lineRule="auto"/>
        <w:ind w:firstLine="482" w:firstLineChars="200"/>
        <w:textAlignment w:val="auto"/>
        <w:rPr>
          <w:rFonts w:ascii="仿宋" w:hAnsi="仿宋" w:eastAsia="仿宋"/>
          <w:b/>
          <w:sz w:val="24"/>
          <w:szCs w:val="24"/>
        </w:rPr>
      </w:pPr>
      <w:r>
        <w:rPr>
          <w:rFonts w:hint="eastAsia" w:ascii="仿宋" w:hAnsi="仿宋" w:eastAsia="仿宋" w:cs="Times New Roman"/>
          <w:b/>
          <w:sz w:val="24"/>
          <w:szCs w:val="24"/>
          <w:lang w:val="en-US" w:eastAsia="zh-CN"/>
        </w:rPr>
        <w:t>2023-2024年工程项目造价咨询服务</w:t>
      </w:r>
      <w:r>
        <w:rPr>
          <w:rFonts w:hint="eastAsia" w:ascii="仿宋" w:hAnsi="仿宋" w:eastAsia="仿宋"/>
          <w:b/>
          <w:sz w:val="24"/>
          <w:szCs w:val="24"/>
        </w:rPr>
        <w:t>招标的潜在投标人</w:t>
      </w:r>
      <w:r>
        <w:rPr>
          <w:rFonts w:hint="eastAsia" w:ascii="仿宋" w:hAnsi="仿宋" w:eastAsia="仿宋" w:cs="Times New Roman"/>
          <w:b/>
          <w:sz w:val="24"/>
          <w:szCs w:val="24"/>
          <w:lang w:val="en-US" w:eastAsia="zh-CN"/>
        </w:rPr>
        <w:t>应在“政采云”平台(http：//www.zcygov.cn)获取招标文件,并于2025年9月 日09时30分（北京时间）前递交响应文件。</w:t>
      </w:r>
    </w:p>
    <w:p w14:paraId="706E9E0E">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bookmarkStart w:id="1" w:name="_Toc28359002"/>
      <w:bookmarkStart w:id="2" w:name="_Toc35393790"/>
      <w:bookmarkStart w:id="3" w:name="_Toc28359079"/>
      <w:bookmarkStart w:id="4" w:name="_Toc35393621"/>
      <w:bookmarkStart w:id="5" w:name="_Hlk24379207"/>
      <w:r>
        <w:rPr>
          <w:rFonts w:hint="eastAsia" w:ascii="黑体" w:hAnsi="黑体" w:eastAsia="黑体" w:cs="宋体"/>
          <w:b/>
          <w:sz w:val="24"/>
          <w:szCs w:val="24"/>
        </w:rPr>
        <w:t>一、项目基本情况</w:t>
      </w:r>
      <w:bookmarkEnd w:id="1"/>
      <w:bookmarkEnd w:id="2"/>
      <w:bookmarkEnd w:id="3"/>
      <w:bookmarkEnd w:id="4"/>
    </w:p>
    <w:p w14:paraId="6516D3D3">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rPr>
      </w:pPr>
      <w:r>
        <w:rPr>
          <w:rFonts w:hint="eastAsia" w:ascii="仿宋" w:hAnsi="仿宋" w:eastAsia="仿宋" w:cs="Times New Roman"/>
          <w:b/>
          <w:sz w:val="24"/>
          <w:szCs w:val="24"/>
        </w:rPr>
        <w:t>1、</w:t>
      </w:r>
      <w:r>
        <w:rPr>
          <w:rFonts w:hint="eastAsia" w:ascii="仿宋" w:hAnsi="仿宋" w:eastAsia="仿宋" w:cs="Times New Roman"/>
          <w:b/>
          <w:sz w:val="24"/>
          <w:szCs w:val="24"/>
          <w:lang w:val="en-US" w:eastAsia="zh-CN"/>
        </w:rPr>
        <w:t>采购计划文号</w:t>
      </w:r>
      <w:r>
        <w:rPr>
          <w:rFonts w:hint="eastAsia" w:ascii="仿宋" w:hAnsi="仿宋" w:eastAsia="仿宋" w:cs="Times New Roman"/>
          <w:b/>
          <w:sz w:val="24"/>
          <w:szCs w:val="24"/>
        </w:rPr>
        <w:t>：</w:t>
      </w:r>
      <w:r>
        <w:rPr>
          <w:rFonts w:hint="eastAsia" w:ascii="仿宋" w:hAnsi="仿宋" w:eastAsia="仿宋" w:cs="Times New Roman"/>
          <w:b/>
          <w:sz w:val="24"/>
          <w:szCs w:val="24"/>
          <w:lang w:val="en-US" w:eastAsia="zh-CN"/>
        </w:rPr>
        <w:t>采购计划-[2025]-00389号</w:t>
      </w:r>
      <w:r>
        <w:rPr>
          <w:rFonts w:hint="eastAsia" w:ascii="仿宋" w:hAnsi="仿宋" w:eastAsia="仿宋" w:cs="Times New Roman"/>
          <w:b/>
          <w:sz w:val="24"/>
          <w:szCs w:val="24"/>
        </w:rPr>
        <w:t>；</w:t>
      </w:r>
    </w:p>
    <w:p w14:paraId="1BF35D4F">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rPr>
        <w:t>2、项目名称：</w:t>
      </w:r>
      <w:r>
        <w:rPr>
          <w:rFonts w:hint="eastAsia" w:ascii="仿宋" w:hAnsi="仿宋" w:eastAsia="仿宋" w:cs="Times New Roman"/>
          <w:b/>
          <w:sz w:val="24"/>
          <w:szCs w:val="24"/>
          <w:lang w:val="en-US" w:eastAsia="zh-CN"/>
        </w:rPr>
        <w:t>2023-2024年工程项目造价咨询服务</w:t>
      </w:r>
      <w:r>
        <w:rPr>
          <w:rFonts w:hint="eastAsia" w:ascii="仿宋" w:hAnsi="仿宋" w:eastAsia="仿宋" w:cs="Times New Roman"/>
          <w:b/>
          <w:sz w:val="24"/>
          <w:szCs w:val="24"/>
        </w:rPr>
        <w:t>；</w:t>
      </w:r>
    </w:p>
    <w:bookmarkEnd w:id="5"/>
    <w:p w14:paraId="5166C2F7">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rPr>
      </w:pPr>
      <w:r>
        <w:rPr>
          <w:rFonts w:hint="eastAsia" w:ascii="仿宋" w:hAnsi="仿宋" w:eastAsia="仿宋"/>
          <w:b/>
          <w:sz w:val="24"/>
          <w:szCs w:val="24"/>
        </w:rPr>
        <w:t>3、预算金额：¥</w:t>
      </w:r>
      <w:r>
        <w:rPr>
          <w:rFonts w:hint="eastAsia" w:ascii="仿宋" w:hAnsi="仿宋" w:eastAsia="仿宋"/>
          <w:b/>
          <w:sz w:val="24"/>
          <w:szCs w:val="24"/>
          <w:lang w:val="en-US" w:eastAsia="zh-CN"/>
        </w:rPr>
        <w:t>2140000</w:t>
      </w:r>
      <w:r>
        <w:rPr>
          <w:rFonts w:hint="eastAsia" w:ascii="仿宋" w:hAnsi="仿宋" w:eastAsia="仿宋"/>
          <w:b/>
          <w:sz w:val="24"/>
          <w:szCs w:val="24"/>
        </w:rPr>
        <w:t>元（人民币</w:t>
      </w:r>
      <w:r>
        <w:rPr>
          <w:rFonts w:hint="eastAsia" w:ascii="仿宋" w:hAnsi="仿宋" w:eastAsia="仿宋" w:cs="Times New Roman"/>
          <w:b/>
          <w:sz w:val="24"/>
          <w:szCs w:val="24"/>
        </w:rPr>
        <w:t>）；</w:t>
      </w:r>
    </w:p>
    <w:p w14:paraId="5367D592">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eastAsia="zh-CN"/>
        </w:rPr>
      </w:pPr>
      <w:r>
        <w:rPr>
          <w:rFonts w:hint="eastAsia" w:ascii="仿宋" w:hAnsi="仿宋" w:eastAsia="仿宋" w:cs="Times New Roman"/>
          <w:b/>
          <w:sz w:val="24"/>
          <w:szCs w:val="24"/>
        </w:rPr>
        <w:t>4、最高限价：¥</w:t>
      </w:r>
      <w:r>
        <w:rPr>
          <w:rFonts w:hint="eastAsia" w:ascii="仿宋" w:hAnsi="仿宋" w:eastAsia="仿宋" w:cs="Times New Roman"/>
          <w:b/>
          <w:sz w:val="24"/>
          <w:szCs w:val="24"/>
          <w:lang w:val="en-US" w:eastAsia="zh-CN"/>
        </w:rPr>
        <w:t>2140000</w:t>
      </w:r>
      <w:r>
        <w:rPr>
          <w:rFonts w:hint="eastAsia" w:ascii="仿宋" w:hAnsi="仿宋" w:eastAsia="仿宋" w:cs="Times New Roman"/>
          <w:b/>
          <w:sz w:val="24"/>
          <w:szCs w:val="24"/>
        </w:rPr>
        <w:t>元（</w:t>
      </w:r>
      <w:r>
        <w:rPr>
          <w:rFonts w:hint="eastAsia" w:ascii="仿宋" w:hAnsi="仿宋" w:eastAsia="仿宋"/>
          <w:b/>
          <w:sz w:val="24"/>
          <w:szCs w:val="24"/>
        </w:rPr>
        <w:t>人民币</w:t>
      </w:r>
      <w:r>
        <w:rPr>
          <w:rFonts w:hint="eastAsia" w:ascii="仿宋" w:hAnsi="仿宋" w:eastAsia="仿宋" w:cs="Times New Roman"/>
          <w:b/>
          <w:sz w:val="24"/>
          <w:szCs w:val="24"/>
        </w:rPr>
        <w:t>）</w:t>
      </w:r>
      <w:r>
        <w:rPr>
          <w:rFonts w:hint="eastAsia" w:ascii="仿宋" w:hAnsi="仿宋" w:eastAsia="仿宋" w:cs="Times New Roman"/>
          <w:b/>
          <w:sz w:val="24"/>
          <w:szCs w:val="24"/>
          <w:lang w:eastAsia="zh-CN"/>
        </w:rPr>
        <w:t>；</w:t>
      </w:r>
    </w:p>
    <w:p w14:paraId="29B38953">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5、资金来源：财政资金；</w:t>
      </w:r>
    </w:p>
    <w:p w14:paraId="1001AB98">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6、采购需求</w:t>
      </w:r>
      <w:r>
        <w:rPr>
          <w:rFonts w:hint="eastAsia" w:ascii="仿宋" w:hAnsi="仿宋" w:eastAsia="仿宋" w:cs="Times New Roman"/>
          <w:b/>
          <w:sz w:val="24"/>
          <w:szCs w:val="24"/>
        </w:rPr>
        <w:t>：</w:t>
      </w:r>
      <w:r>
        <w:rPr>
          <w:rFonts w:hint="eastAsia" w:ascii="仿宋" w:hAnsi="仿宋" w:eastAsia="仿宋" w:cs="Times New Roman"/>
          <w:b/>
          <w:sz w:val="24"/>
          <w:szCs w:val="24"/>
          <w:lang w:val="en-US" w:eastAsia="zh-CN"/>
        </w:rPr>
        <w:t>选择第三方评审机构，对局属2023-2024年重点工程项目进行竣工结算复审服务，需及时、准确提供评审报告</w:t>
      </w:r>
      <w:r>
        <w:rPr>
          <w:rFonts w:hint="eastAsia" w:ascii="仿宋" w:hAnsi="仿宋" w:eastAsia="仿宋" w:cs="Times New Roman"/>
          <w:b/>
          <w:sz w:val="24"/>
          <w:szCs w:val="24"/>
        </w:rPr>
        <w:t>。</w:t>
      </w:r>
      <w:r>
        <w:rPr>
          <w:rFonts w:hint="eastAsia" w:ascii="仿宋" w:hAnsi="仿宋" w:eastAsia="仿宋"/>
          <w:b/>
          <w:sz w:val="24"/>
          <w:szCs w:val="24"/>
        </w:rPr>
        <w:t>（具体内容见招标文件）</w:t>
      </w:r>
    </w:p>
    <w:p w14:paraId="096168A8">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7、项目地点</w:t>
      </w:r>
      <w:r>
        <w:rPr>
          <w:rFonts w:hint="eastAsia" w:ascii="仿宋" w:hAnsi="仿宋" w:eastAsia="仿宋" w:cs="Times New Roman"/>
          <w:b/>
          <w:sz w:val="24"/>
          <w:szCs w:val="24"/>
          <w:lang w:val="en-US" w:eastAsia="zh-CN"/>
        </w:rPr>
        <w:t>：吉林市；</w:t>
      </w:r>
    </w:p>
    <w:p w14:paraId="4B449376">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8、</w:t>
      </w:r>
      <w:r>
        <w:rPr>
          <w:rFonts w:hint="eastAsia" w:ascii="仿宋" w:hAnsi="仿宋" w:eastAsia="仿宋"/>
          <w:b/>
          <w:sz w:val="24"/>
          <w:szCs w:val="24"/>
          <w:lang w:eastAsia="zh-CN"/>
        </w:rPr>
        <w:t>服务</w:t>
      </w:r>
      <w:r>
        <w:rPr>
          <w:rFonts w:hint="eastAsia" w:ascii="仿宋" w:hAnsi="仿宋" w:eastAsia="仿宋"/>
          <w:b/>
          <w:sz w:val="24"/>
          <w:szCs w:val="24"/>
        </w:rPr>
        <w:t>期</w:t>
      </w:r>
      <w:r>
        <w:rPr>
          <w:rFonts w:hint="eastAsia" w:ascii="仿宋" w:hAnsi="仿宋" w:eastAsia="仿宋" w:cs="Times New Roman"/>
          <w:b/>
          <w:sz w:val="24"/>
          <w:szCs w:val="24"/>
          <w:lang w:eastAsia="zh-CN"/>
        </w:rPr>
        <w:t>：</w:t>
      </w:r>
      <w:r>
        <w:rPr>
          <w:rFonts w:hint="eastAsia" w:ascii="仿宋" w:hAnsi="仿宋" w:eastAsia="仿宋" w:cs="Times New Roman"/>
          <w:b/>
          <w:sz w:val="24"/>
          <w:szCs w:val="24"/>
          <w:lang w:val="en-US" w:eastAsia="zh-CN"/>
        </w:rPr>
        <w:t>签订合同之日起90日完成</w:t>
      </w:r>
      <w:r>
        <w:rPr>
          <w:rFonts w:hint="eastAsia" w:ascii="仿宋" w:hAnsi="仿宋" w:eastAsia="仿宋" w:cs="Times New Roman"/>
          <w:b/>
          <w:sz w:val="24"/>
          <w:szCs w:val="24"/>
          <w:lang w:eastAsia="zh-CN"/>
        </w:rPr>
        <w:t>；</w:t>
      </w:r>
    </w:p>
    <w:p w14:paraId="33F94D72">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lang w:val="en-US" w:eastAsia="zh-CN"/>
        </w:rPr>
        <w:t>9</w:t>
      </w:r>
      <w:r>
        <w:rPr>
          <w:rFonts w:hint="eastAsia" w:ascii="仿宋" w:hAnsi="仿宋" w:eastAsia="仿宋"/>
          <w:b/>
          <w:sz w:val="24"/>
          <w:szCs w:val="24"/>
        </w:rPr>
        <w:t>、质量标准：符合国家</w:t>
      </w:r>
      <w:r>
        <w:rPr>
          <w:rFonts w:hint="eastAsia" w:ascii="仿宋" w:hAnsi="仿宋" w:eastAsia="仿宋"/>
          <w:b/>
          <w:sz w:val="24"/>
          <w:szCs w:val="24"/>
          <w:lang w:val="en-US" w:eastAsia="zh-CN"/>
        </w:rPr>
        <w:t>现行</w:t>
      </w:r>
      <w:r>
        <w:rPr>
          <w:rFonts w:hint="eastAsia" w:ascii="仿宋" w:hAnsi="仿宋" w:eastAsia="仿宋"/>
          <w:b/>
          <w:sz w:val="24"/>
          <w:szCs w:val="24"/>
        </w:rPr>
        <w:t>相关质量技术标准；</w:t>
      </w:r>
    </w:p>
    <w:p w14:paraId="2933837D">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w:t>
      </w:r>
      <w:r>
        <w:rPr>
          <w:rFonts w:hint="eastAsia" w:ascii="仿宋" w:hAnsi="仿宋" w:eastAsia="仿宋"/>
          <w:b/>
          <w:sz w:val="24"/>
          <w:szCs w:val="24"/>
          <w:lang w:val="en-US" w:eastAsia="zh-CN"/>
        </w:rPr>
        <w:t>0</w:t>
      </w:r>
      <w:r>
        <w:rPr>
          <w:rFonts w:hint="eastAsia" w:ascii="仿宋" w:hAnsi="仿宋" w:eastAsia="仿宋"/>
          <w:b/>
          <w:sz w:val="24"/>
          <w:szCs w:val="24"/>
        </w:rPr>
        <w:t>、合同履行期限：自合同签订之日起至合同履行完毕；</w:t>
      </w:r>
    </w:p>
    <w:p w14:paraId="6FA7F87C">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w:t>
      </w:r>
      <w:r>
        <w:rPr>
          <w:rFonts w:hint="eastAsia" w:ascii="仿宋" w:hAnsi="仿宋" w:eastAsia="仿宋"/>
          <w:b/>
          <w:sz w:val="24"/>
          <w:szCs w:val="24"/>
          <w:lang w:val="en-US" w:eastAsia="zh-CN"/>
        </w:rPr>
        <w:t>1</w:t>
      </w:r>
      <w:r>
        <w:rPr>
          <w:rFonts w:hint="eastAsia" w:ascii="仿宋" w:hAnsi="仿宋" w:eastAsia="仿宋"/>
          <w:b/>
          <w:sz w:val="24"/>
          <w:szCs w:val="24"/>
        </w:rPr>
        <w:t>、采购方式：公开招标；</w:t>
      </w:r>
    </w:p>
    <w:p w14:paraId="157A7205">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w:t>
      </w:r>
      <w:r>
        <w:rPr>
          <w:rFonts w:hint="eastAsia" w:ascii="仿宋" w:hAnsi="仿宋" w:eastAsia="仿宋"/>
          <w:b/>
          <w:sz w:val="24"/>
          <w:szCs w:val="24"/>
          <w:lang w:val="en-US" w:eastAsia="zh-CN"/>
        </w:rPr>
        <w:t>2</w:t>
      </w:r>
      <w:r>
        <w:rPr>
          <w:rFonts w:hint="eastAsia" w:ascii="仿宋" w:hAnsi="仿宋" w:eastAsia="仿宋"/>
          <w:b/>
          <w:sz w:val="24"/>
          <w:szCs w:val="24"/>
        </w:rPr>
        <w:t>、资格审查方式：资格后审；</w:t>
      </w:r>
    </w:p>
    <w:p w14:paraId="51E92ADB">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lang w:eastAsia="zh-CN"/>
        </w:rPr>
      </w:pPr>
      <w:r>
        <w:rPr>
          <w:rFonts w:hint="eastAsia" w:ascii="仿宋" w:hAnsi="仿宋" w:eastAsia="仿宋"/>
          <w:b/>
          <w:sz w:val="24"/>
          <w:szCs w:val="24"/>
        </w:rPr>
        <w:t>1</w:t>
      </w:r>
      <w:r>
        <w:rPr>
          <w:rFonts w:hint="eastAsia" w:ascii="仿宋" w:hAnsi="仿宋" w:eastAsia="仿宋"/>
          <w:b/>
          <w:sz w:val="24"/>
          <w:szCs w:val="24"/>
          <w:lang w:val="en-US" w:eastAsia="zh-CN"/>
        </w:rPr>
        <w:t>3</w:t>
      </w:r>
      <w:r>
        <w:rPr>
          <w:rFonts w:hint="eastAsia" w:ascii="仿宋" w:hAnsi="仿宋" w:eastAsia="仿宋"/>
          <w:b/>
          <w:sz w:val="24"/>
          <w:szCs w:val="24"/>
        </w:rPr>
        <w:t>、本项目不接受联合体投标</w:t>
      </w:r>
      <w:r>
        <w:rPr>
          <w:rFonts w:hint="eastAsia" w:ascii="仿宋" w:hAnsi="仿宋" w:eastAsia="仿宋"/>
          <w:b/>
          <w:sz w:val="24"/>
          <w:szCs w:val="24"/>
          <w:lang w:eastAsia="zh-CN"/>
        </w:rPr>
        <w:t>；</w:t>
      </w:r>
    </w:p>
    <w:p w14:paraId="1B515E85">
      <w:pPr>
        <w:pageBreakBefore w:val="0"/>
        <w:kinsoku/>
        <w:overflowPunct/>
        <w:topLinePunct w:val="0"/>
        <w:bidi w:val="0"/>
        <w:snapToGrid/>
        <w:spacing w:line="360" w:lineRule="auto"/>
        <w:ind w:firstLine="549" w:firstLineChars="228"/>
        <w:textAlignment w:val="auto"/>
        <w:rPr>
          <w:rFonts w:hint="default" w:ascii="仿宋" w:hAnsi="仿宋" w:eastAsia="仿宋"/>
          <w:b/>
          <w:sz w:val="24"/>
          <w:szCs w:val="24"/>
          <w:lang w:val="en-US" w:eastAsia="zh-CN"/>
        </w:rPr>
      </w:pPr>
      <w:r>
        <w:rPr>
          <w:rFonts w:hint="eastAsia" w:ascii="仿宋" w:hAnsi="仿宋" w:eastAsia="仿宋"/>
          <w:b/>
          <w:sz w:val="24"/>
          <w:szCs w:val="24"/>
          <w:lang w:val="en-US" w:eastAsia="zh-CN"/>
        </w:rPr>
        <w:t>14、项目编号：GXJS-C25004</w:t>
      </w:r>
    </w:p>
    <w:p w14:paraId="031020E1">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bookmarkStart w:id="6" w:name="_Toc35393791"/>
      <w:bookmarkStart w:id="7" w:name="_Toc28359080"/>
      <w:bookmarkStart w:id="8" w:name="_Toc35393622"/>
      <w:bookmarkStart w:id="9" w:name="_Toc28359003"/>
      <w:r>
        <w:rPr>
          <w:rFonts w:hint="eastAsia" w:ascii="黑体" w:hAnsi="黑体" w:eastAsia="黑体" w:cs="宋体"/>
          <w:b/>
          <w:sz w:val="24"/>
          <w:szCs w:val="24"/>
        </w:rPr>
        <w:t>二、申请人的资格要求：</w:t>
      </w:r>
      <w:bookmarkEnd w:id="6"/>
      <w:bookmarkEnd w:id="7"/>
      <w:bookmarkEnd w:id="8"/>
      <w:bookmarkEnd w:id="9"/>
    </w:p>
    <w:p w14:paraId="0944EC3A">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1.满足《中华人民共和国政府采购法》第二十二条规定；</w:t>
      </w:r>
    </w:p>
    <w:p w14:paraId="0DF9728F">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(1)具有独立承担民事责任的能力；</w:t>
      </w:r>
    </w:p>
    <w:p w14:paraId="434DBE5F">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(2)具有良好的商业信誉和健全的财务会计制度；</w:t>
      </w:r>
    </w:p>
    <w:p w14:paraId="088F8B84">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(3)具有履行合同所必需的设备和专业技术能力；</w:t>
      </w:r>
    </w:p>
    <w:p w14:paraId="1F164D0C">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(4)有依法缴纳税收和社会保障资金的良好记录；</w:t>
      </w:r>
    </w:p>
    <w:p w14:paraId="60F1713B">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(5)参加政府采购活动前三年内，在经营活动中没有重大违法记录；</w:t>
      </w:r>
    </w:p>
    <w:p w14:paraId="2FC0FA6F">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(6)法律、行政法规规定的其他条件。</w:t>
      </w:r>
    </w:p>
    <w:p w14:paraId="16ECA85A">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highlight w:val="none"/>
          <w:lang w:eastAsia="zh-CN"/>
        </w:rPr>
      </w:pPr>
      <w:bookmarkStart w:id="10" w:name="_Toc28359081"/>
      <w:bookmarkStart w:id="11" w:name="_Toc28359004"/>
      <w:r>
        <w:rPr>
          <w:rFonts w:hint="eastAsia" w:ascii="仿宋" w:hAnsi="仿宋" w:eastAsia="仿宋" w:cs="Times New Roman"/>
          <w:b/>
          <w:sz w:val="24"/>
          <w:szCs w:val="24"/>
          <w:highlight w:val="none"/>
          <w:lang w:eastAsia="zh-CN"/>
        </w:rPr>
        <w:t>2.落实政府采购政策需满足的资格要求：本项目属于专门面向中小企业采购的项目，本次招标活动对于满足国家采购政策要求的供应商按照相关规定的扶持政策执行；</w:t>
      </w:r>
    </w:p>
    <w:p w14:paraId="1B46342D">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3.本项目的特定资格要求：</w:t>
      </w:r>
    </w:p>
    <w:p w14:paraId="0D622476">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3.1</w:t>
      </w:r>
      <w:r>
        <w:rPr>
          <w:rFonts w:hint="eastAsia" w:ascii="仿宋" w:hAnsi="仿宋" w:eastAsia="仿宋" w:cs="Times New Roman"/>
          <w:b/>
          <w:sz w:val="24"/>
          <w:szCs w:val="24"/>
        </w:rPr>
        <w:t>投标单位必须在中华人民共和国境内合法注册具有独立法人资格或其他组织、并根据中华人民共和国相关法律合法成立并存在，未处于被责令停业、投标资格被取消或者财产被接管、冻结和破产状态</w:t>
      </w:r>
      <w:r>
        <w:rPr>
          <w:rFonts w:hint="eastAsia" w:ascii="仿宋" w:hAnsi="仿宋" w:eastAsia="仿宋" w:cs="Times New Roman"/>
          <w:b/>
          <w:sz w:val="24"/>
          <w:szCs w:val="24"/>
          <w:lang w:eastAsia="zh-CN"/>
        </w:rPr>
        <w:t>；</w:t>
      </w:r>
      <w:r>
        <w:rPr>
          <w:rFonts w:hint="eastAsia" w:ascii="仿宋" w:hAnsi="仿宋" w:eastAsia="仿宋"/>
          <w:b/>
          <w:sz w:val="24"/>
          <w:szCs w:val="24"/>
        </w:rPr>
        <w:t>具有</w:t>
      </w:r>
      <w:r>
        <w:rPr>
          <w:rFonts w:hint="eastAsia" w:ascii="仿宋" w:hAnsi="仿宋" w:eastAsia="仿宋"/>
          <w:b/>
          <w:sz w:val="24"/>
          <w:szCs w:val="24"/>
          <w:lang w:eastAsia="zh-CN"/>
        </w:rPr>
        <w:t>有效的</w:t>
      </w:r>
      <w:r>
        <w:rPr>
          <w:rFonts w:hint="eastAsia" w:ascii="仿宋" w:hAnsi="仿宋" w:eastAsia="仿宋"/>
          <w:b/>
          <w:sz w:val="24"/>
          <w:szCs w:val="24"/>
        </w:rPr>
        <w:t>营业执照等证明文件；</w:t>
      </w:r>
    </w:p>
    <w:p w14:paraId="6F82FAAB">
      <w:pPr>
        <w:pageBreakBefore w:val="0"/>
        <w:kinsoku/>
        <w:overflowPunct/>
        <w:topLinePunct w:val="0"/>
        <w:bidi w:val="0"/>
        <w:snapToGrid/>
        <w:spacing w:line="360" w:lineRule="auto"/>
        <w:ind w:firstLine="549" w:firstLineChars="228"/>
        <w:textAlignment w:val="auto"/>
        <w:rPr>
          <w:rFonts w:hint="default" w:ascii="仿宋" w:hAnsi="仿宋" w:eastAsia="仿宋"/>
          <w:b/>
          <w:color w:val="auto"/>
          <w:sz w:val="24"/>
          <w:szCs w:val="24"/>
          <w:lang w:val="en-US" w:eastAsia="zh-CN"/>
        </w:rPr>
      </w:pPr>
      <w:r>
        <w:rPr>
          <w:rFonts w:hint="eastAsia" w:ascii="仿宋" w:hAnsi="仿宋" w:eastAsia="仿宋"/>
          <w:b/>
          <w:color w:val="auto"/>
          <w:sz w:val="24"/>
          <w:szCs w:val="24"/>
        </w:rPr>
        <w:t>3.</w:t>
      </w:r>
      <w:r>
        <w:rPr>
          <w:rFonts w:hint="eastAsia" w:ascii="仿宋" w:hAnsi="仿宋" w:eastAsia="仿宋"/>
          <w:b/>
          <w:color w:val="auto"/>
          <w:sz w:val="24"/>
          <w:szCs w:val="24"/>
          <w:lang w:val="en-US" w:eastAsia="zh-CN"/>
        </w:rPr>
        <w:t xml:space="preserve">2 </w:t>
      </w:r>
      <w:r>
        <w:rPr>
          <w:rFonts w:hint="eastAsia" w:ascii="仿宋" w:hAnsi="仿宋" w:eastAsia="仿宋" w:cs="Times New Roman"/>
          <w:b/>
          <w:sz w:val="24"/>
          <w:szCs w:val="24"/>
          <w:lang w:val="en-US" w:eastAsia="zh-CN"/>
        </w:rPr>
        <w:t>项目负责人须具备注册造价工程师执业资格，须在本企业注册，并与本企业签订劳动合同，并提供自开标前至少3个月社保证明。</w:t>
      </w:r>
    </w:p>
    <w:p w14:paraId="064FA125">
      <w:pPr>
        <w:pageBreakBefore w:val="0"/>
        <w:kinsoku/>
        <w:overflowPunct/>
        <w:topLinePunct w:val="0"/>
        <w:bidi w:val="0"/>
        <w:snapToGrid/>
        <w:spacing w:line="360" w:lineRule="auto"/>
        <w:ind w:firstLine="549" w:firstLineChars="228"/>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3.</w:t>
      </w:r>
      <w:r>
        <w:rPr>
          <w:rFonts w:hint="eastAsia" w:ascii="仿宋" w:hAnsi="仿宋" w:eastAsia="仿宋"/>
          <w:b/>
          <w:color w:val="auto"/>
          <w:sz w:val="24"/>
          <w:szCs w:val="24"/>
          <w:highlight w:val="none"/>
          <w:lang w:val="en-US" w:eastAsia="zh-CN"/>
        </w:rPr>
        <w:t>3</w:t>
      </w:r>
      <w:r>
        <w:rPr>
          <w:rFonts w:hint="eastAsia" w:ascii="仿宋" w:hAnsi="仿宋" w:eastAsia="仿宋"/>
          <w:b/>
          <w:color w:val="auto"/>
          <w:sz w:val="24"/>
          <w:szCs w:val="24"/>
          <w:highlight w:val="none"/>
          <w:lang w:val="zh-CN"/>
        </w:rPr>
        <w:t>财务要求：应出具近三年（20</w:t>
      </w:r>
      <w:r>
        <w:rPr>
          <w:rFonts w:hint="eastAsia" w:ascii="仿宋" w:hAnsi="仿宋" w:eastAsia="仿宋"/>
          <w:b/>
          <w:color w:val="auto"/>
          <w:sz w:val="24"/>
          <w:szCs w:val="24"/>
          <w:highlight w:val="none"/>
          <w:lang w:val="en-US" w:eastAsia="zh-CN"/>
        </w:rPr>
        <w:t>22</w:t>
      </w:r>
      <w:r>
        <w:rPr>
          <w:rFonts w:hint="eastAsia" w:ascii="仿宋" w:hAnsi="仿宋" w:eastAsia="仿宋"/>
          <w:b/>
          <w:color w:val="auto"/>
          <w:sz w:val="24"/>
          <w:szCs w:val="24"/>
          <w:highlight w:val="none"/>
          <w:lang w:val="zh-CN"/>
        </w:rPr>
        <w:t>年、20</w:t>
      </w:r>
      <w:r>
        <w:rPr>
          <w:rFonts w:hint="eastAsia" w:ascii="仿宋" w:hAnsi="仿宋" w:eastAsia="仿宋"/>
          <w:b/>
          <w:color w:val="auto"/>
          <w:sz w:val="24"/>
          <w:szCs w:val="24"/>
          <w:highlight w:val="none"/>
          <w:lang w:val="en-US" w:eastAsia="zh-CN"/>
        </w:rPr>
        <w:t>23</w:t>
      </w:r>
      <w:r>
        <w:rPr>
          <w:rFonts w:hint="eastAsia" w:ascii="仿宋" w:hAnsi="仿宋" w:eastAsia="仿宋"/>
          <w:b/>
          <w:color w:val="auto"/>
          <w:sz w:val="24"/>
          <w:szCs w:val="24"/>
          <w:highlight w:val="none"/>
          <w:lang w:val="zh-CN"/>
        </w:rPr>
        <w:t>年、</w:t>
      </w:r>
      <w:r>
        <w:rPr>
          <w:rFonts w:hint="eastAsia" w:ascii="仿宋" w:hAnsi="仿宋" w:eastAsia="仿宋"/>
          <w:b/>
          <w:color w:val="auto"/>
          <w:sz w:val="24"/>
          <w:szCs w:val="24"/>
          <w:highlight w:val="none"/>
          <w:lang w:val="en-US" w:eastAsia="zh-CN"/>
        </w:rPr>
        <w:t>2024年</w:t>
      </w:r>
      <w:r>
        <w:rPr>
          <w:rFonts w:hint="eastAsia" w:ascii="仿宋" w:hAnsi="仿宋" w:eastAsia="仿宋"/>
          <w:b/>
          <w:color w:val="auto"/>
          <w:sz w:val="24"/>
          <w:szCs w:val="24"/>
          <w:highlight w:val="none"/>
          <w:lang w:val="zh-CN"/>
        </w:rPr>
        <w:t>）经会计师事务所审计的财务审计报告（新成立公司提供现有年限即可，202</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lang w:val="zh-CN"/>
        </w:rPr>
        <w:t>年新成立的企业须提供资信证明相关资料）。</w:t>
      </w:r>
    </w:p>
    <w:p w14:paraId="1BB120B6">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lang w:eastAsia="zh-CN"/>
        </w:rPr>
      </w:pPr>
      <w:r>
        <w:rPr>
          <w:rFonts w:hint="eastAsia" w:ascii="仿宋" w:hAnsi="仿宋" w:eastAsia="仿宋"/>
          <w:b/>
          <w:sz w:val="24"/>
          <w:szCs w:val="24"/>
        </w:rPr>
        <w:t>3.</w:t>
      </w:r>
      <w:r>
        <w:rPr>
          <w:rFonts w:hint="eastAsia" w:ascii="仿宋" w:hAnsi="仿宋" w:eastAsia="仿宋"/>
          <w:b/>
          <w:sz w:val="24"/>
          <w:szCs w:val="24"/>
          <w:lang w:val="en-US" w:eastAsia="zh-CN"/>
        </w:rPr>
        <w:t>4</w:t>
      </w:r>
      <w:r>
        <w:rPr>
          <w:rFonts w:hint="eastAsia" w:ascii="仿宋" w:hAnsi="仿宋" w:eastAsia="仿宋"/>
          <w:b/>
          <w:sz w:val="24"/>
          <w:szCs w:val="24"/>
        </w:rPr>
        <w:t>拒绝列入政府取消投标资格记录期间的企业或</w:t>
      </w:r>
      <w:r>
        <w:rPr>
          <w:rFonts w:hint="eastAsia" w:ascii="仿宋" w:hAnsi="仿宋" w:eastAsia="仿宋" w:cs="Times New Roman"/>
          <w:b/>
          <w:sz w:val="24"/>
          <w:szCs w:val="24"/>
        </w:rPr>
        <w:t>个人投标。</w:t>
      </w:r>
    </w:p>
    <w:p w14:paraId="119A878C">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3.</w:t>
      </w:r>
      <w:r>
        <w:rPr>
          <w:rFonts w:hint="eastAsia" w:ascii="仿宋" w:hAnsi="仿宋" w:eastAsia="仿宋"/>
          <w:b/>
          <w:sz w:val="24"/>
          <w:szCs w:val="24"/>
          <w:lang w:val="en-US" w:eastAsia="zh-CN"/>
        </w:rPr>
        <w:t>5</w:t>
      </w:r>
      <w:r>
        <w:rPr>
          <w:rFonts w:hint="eastAsia" w:ascii="仿宋" w:hAnsi="仿宋" w:eastAsia="仿宋"/>
          <w:b/>
          <w:sz w:val="24"/>
          <w:szCs w:val="24"/>
        </w:rPr>
        <w:t>依据“信用中国”网站(www.creditchina.gov.cn)、中国政府采购网(www.ccgp.gov.cn)信息，对列入失信被执行人、重大税收违法案件当事人名单、政府采购严重违法失信行为记录名单及其他不符合《中华人民共和国政府采购法》第二十二条规定条件的供应商，拒绝其参与政府采购活动。</w:t>
      </w:r>
    </w:p>
    <w:p w14:paraId="6ED1271F">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3.</w:t>
      </w:r>
      <w:r>
        <w:rPr>
          <w:rFonts w:hint="eastAsia" w:ascii="仿宋" w:hAnsi="仿宋" w:eastAsia="仿宋"/>
          <w:b/>
          <w:sz w:val="24"/>
          <w:szCs w:val="24"/>
          <w:lang w:val="en-US" w:eastAsia="zh-CN"/>
        </w:rPr>
        <w:t>6</w:t>
      </w:r>
      <w:r>
        <w:rPr>
          <w:rFonts w:hint="eastAsia" w:ascii="仿宋" w:hAnsi="仿宋" w:eastAsia="仿宋"/>
          <w:b/>
          <w:sz w:val="24"/>
          <w:szCs w:val="24"/>
        </w:rPr>
        <w:t>供应商须在中国裁判文书网自行查询本公司行贿犯罪记录，且提供查询页面截图并加盖公章作为无行贿犯罪记录证明。</w:t>
      </w:r>
    </w:p>
    <w:p w14:paraId="5E2DDD14">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eastAsia="zh-CN"/>
        </w:rPr>
      </w:pPr>
      <w:r>
        <w:rPr>
          <w:rFonts w:hint="eastAsia" w:ascii="仿宋" w:hAnsi="仿宋" w:eastAsia="仿宋" w:cs="Times New Roman"/>
          <w:b/>
          <w:sz w:val="24"/>
          <w:szCs w:val="24"/>
          <w:lang w:val="en-US" w:eastAsia="zh-CN"/>
        </w:rPr>
        <w:t xml:space="preserve">3.7 </w:t>
      </w:r>
      <w:r>
        <w:rPr>
          <w:rFonts w:hint="default" w:ascii="仿宋" w:hAnsi="仿宋" w:eastAsia="仿宋" w:cs="Times New Roman"/>
          <w:b/>
          <w:sz w:val="24"/>
          <w:szCs w:val="24"/>
        </w:rPr>
        <w:t>在参加政府采购活动的前三年内无重大违法经营记录</w:t>
      </w:r>
      <w:r>
        <w:rPr>
          <w:rFonts w:hint="eastAsia" w:ascii="仿宋" w:hAnsi="仿宋" w:eastAsia="仿宋" w:cs="Times New Roman"/>
          <w:b/>
          <w:sz w:val="24"/>
          <w:szCs w:val="24"/>
          <w:lang w:eastAsia="zh-CN"/>
        </w:rPr>
        <w:t>。</w:t>
      </w:r>
    </w:p>
    <w:p w14:paraId="510B9155">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3.8</w:t>
      </w:r>
      <w:r>
        <w:rPr>
          <w:rFonts w:hint="eastAsia" w:ascii="仿宋" w:hAnsi="仿宋" w:eastAsia="仿宋" w:cs="Times New Roman"/>
          <w:b/>
          <w:sz w:val="24"/>
          <w:szCs w:val="24"/>
        </w:rPr>
        <w:t>本项目不接受联合体投标，不允许投标</w:t>
      </w:r>
      <w:r>
        <w:rPr>
          <w:rFonts w:hint="eastAsia" w:ascii="仿宋" w:hAnsi="仿宋" w:eastAsia="仿宋" w:cs="Times New Roman"/>
          <w:b/>
          <w:sz w:val="24"/>
          <w:szCs w:val="24"/>
          <w:lang w:val="en-US" w:eastAsia="zh-CN"/>
        </w:rPr>
        <w:t>单位</w:t>
      </w:r>
      <w:r>
        <w:rPr>
          <w:rFonts w:hint="eastAsia" w:ascii="仿宋" w:hAnsi="仿宋" w:eastAsia="仿宋" w:cs="Times New Roman"/>
          <w:b/>
          <w:sz w:val="24"/>
          <w:szCs w:val="24"/>
        </w:rPr>
        <w:t>中标后将本次招标合同转包、分包，不接受被政府列为取消投标资格期间的企业或个人投标。</w:t>
      </w:r>
    </w:p>
    <w:p w14:paraId="0F7476B0">
      <w:pPr>
        <w:pageBreakBefore w:val="0"/>
        <w:kinsoku/>
        <w:overflowPunct/>
        <w:topLinePunct w:val="0"/>
        <w:bidi w:val="0"/>
        <w:snapToGrid/>
        <w:spacing w:line="360" w:lineRule="auto"/>
        <w:ind w:left="479" w:leftChars="228" w:firstLine="63" w:firstLineChars="26"/>
        <w:textAlignment w:val="auto"/>
        <w:rPr>
          <w:rFonts w:hint="eastAsia" w:ascii="仿宋" w:hAnsi="仿宋" w:eastAsia="仿宋" w:cs="Times New Roman"/>
          <w:b/>
          <w:color w:val="auto"/>
          <w:sz w:val="24"/>
          <w:szCs w:val="24"/>
          <w:lang w:val="en-US" w:eastAsia="zh-CN"/>
        </w:rPr>
      </w:pPr>
      <w:r>
        <w:rPr>
          <w:rFonts w:hint="eastAsia" w:ascii="仿宋" w:hAnsi="仿宋" w:eastAsia="仿宋" w:cs="Times New Roman"/>
          <w:b/>
          <w:sz w:val="24"/>
          <w:szCs w:val="24"/>
          <w:lang w:val="en-US" w:eastAsia="zh-CN"/>
        </w:rPr>
        <w:t xml:space="preserve">3.9 </w:t>
      </w:r>
      <w:r>
        <w:rPr>
          <w:rFonts w:hint="eastAsia" w:ascii="仿宋" w:hAnsi="仿宋" w:eastAsia="仿宋" w:cs="Times New Roman"/>
          <w:b/>
          <w:color w:val="auto"/>
          <w:sz w:val="24"/>
          <w:szCs w:val="24"/>
          <w:lang w:val="en-US" w:eastAsia="zh-CN"/>
        </w:rPr>
        <w:t>企业名称不同但法定代表人为同一个自然人的两个或者两个以上的投</w:t>
      </w:r>
    </w:p>
    <w:p w14:paraId="7FDDA919">
      <w:pPr>
        <w:pageBreakBefore w:val="0"/>
        <w:kinsoku/>
        <w:overflowPunct/>
        <w:topLinePunct w:val="0"/>
        <w:bidi w:val="0"/>
        <w:snapToGrid/>
        <w:spacing w:line="360" w:lineRule="auto"/>
        <w:textAlignment w:val="auto"/>
        <w:rPr>
          <w:rFonts w:hint="eastAsia" w:ascii="仿宋" w:hAnsi="仿宋" w:eastAsia="仿宋"/>
          <w:b/>
          <w:color w:val="auto"/>
          <w:sz w:val="24"/>
          <w:szCs w:val="24"/>
        </w:rPr>
      </w:pPr>
      <w:r>
        <w:rPr>
          <w:rFonts w:hint="eastAsia" w:ascii="仿宋" w:hAnsi="仿宋" w:eastAsia="仿宋" w:cs="Times New Roman"/>
          <w:b/>
          <w:color w:val="auto"/>
          <w:sz w:val="24"/>
          <w:szCs w:val="24"/>
          <w:lang w:val="en-US" w:eastAsia="zh-CN"/>
        </w:rPr>
        <w:t>标人不得参加同一采购项目的投标；</w:t>
      </w:r>
      <w:r>
        <w:rPr>
          <w:rFonts w:hint="eastAsia" w:ascii="仿宋" w:hAnsi="仿宋" w:eastAsia="仿宋" w:cs="Times New Roman"/>
          <w:b/>
          <w:color w:val="auto"/>
          <w:sz w:val="24"/>
          <w:szCs w:val="24"/>
        </w:rPr>
        <w:t>单</w:t>
      </w:r>
      <w:r>
        <w:rPr>
          <w:rFonts w:hint="eastAsia" w:ascii="仿宋" w:hAnsi="仿宋" w:eastAsia="仿宋"/>
          <w:b/>
          <w:color w:val="auto"/>
          <w:sz w:val="24"/>
          <w:szCs w:val="24"/>
        </w:rPr>
        <w:t>位负责人为同一人或者存在直接控股、管理关系的不同供应商，不得参加同一合同项下的政府采购活动；</w:t>
      </w:r>
    </w:p>
    <w:p w14:paraId="3F6E3AE2">
      <w:pPr>
        <w:pageBreakBefore w:val="0"/>
        <w:kinsoku/>
        <w:overflowPunct/>
        <w:topLinePunct w:val="0"/>
        <w:bidi w:val="0"/>
        <w:snapToGrid/>
        <w:spacing w:line="360" w:lineRule="auto"/>
        <w:ind w:left="479" w:leftChars="228" w:firstLine="63" w:firstLineChars="26"/>
        <w:textAlignment w:val="auto"/>
        <w:rPr>
          <w:rFonts w:hint="eastAsia" w:ascii="仿宋" w:hAnsi="仿宋" w:eastAsia="仿宋" w:cs="Times New Roman"/>
          <w:b/>
          <w:sz w:val="24"/>
          <w:szCs w:val="24"/>
          <w:lang w:eastAsia="zh-CN"/>
        </w:rPr>
      </w:pPr>
      <w:r>
        <w:rPr>
          <w:rFonts w:hint="eastAsia" w:ascii="仿宋" w:hAnsi="仿宋" w:eastAsia="仿宋"/>
          <w:b/>
          <w:color w:val="auto"/>
          <w:sz w:val="24"/>
          <w:szCs w:val="24"/>
          <w:lang w:val="en-US" w:eastAsia="zh-CN"/>
        </w:rPr>
        <w:t xml:space="preserve">3.10 </w:t>
      </w:r>
      <w:r>
        <w:rPr>
          <w:rFonts w:hint="eastAsia" w:ascii="仿宋" w:hAnsi="仿宋" w:eastAsia="仿宋" w:cs="Times New Roman"/>
          <w:b/>
          <w:sz w:val="24"/>
          <w:szCs w:val="24"/>
        </w:rPr>
        <w:t>投标</w:t>
      </w:r>
      <w:r>
        <w:rPr>
          <w:rFonts w:hint="eastAsia" w:ascii="仿宋" w:hAnsi="仿宋" w:eastAsia="仿宋" w:cs="Times New Roman"/>
          <w:b/>
          <w:sz w:val="24"/>
          <w:szCs w:val="24"/>
          <w:lang w:val="en-US" w:eastAsia="zh-CN"/>
        </w:rPr>
        <w:t>单位</w:t>
      </w:r>
      <w:r>
        <w:rPr>
          <w:rFonts w:hint="eastAsia" w:ascii="仿宋" w:hAnsi="仿宋" w:eastAsia="仿宋" w:cs="Times New Roman"/>
          <w:b/>
          <w:sz w:val="24"/>
          <w:szCs w:val="24"/>
        </w:rPr>
        <w:t>须遵守国家的法律、法规和规章条例，严禁进行不正当竞争</w:t>
      </w:r>
      <w:r>
        <w:rPr>
          <w:rFonts w:hint="eastAsia" w:ascii="仿宋" w:hAnsi="仿宋" w:eastAsia="仿宋" w:cs="Times New Roman"/>
          <w:b/>
          <w:sz w:val="24"/>
          <w:szCs w:val="24"/>
          <w:lang w:eastAsia="zh-CN"/>
        </w:rPr>
        <w:t>。</w:t>
      </w:r>
    </w:p>
    <w:p w14:paraId="578CCBA2">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bookmarkStart w:id="12" w:name="_Toc35393623"/>
      <w:bookmarkStart w:id="13" w:name="_Toc35393792"/>
      <w:r>
        <w:rPr>
          <w:rFonts w:hint="eastAsia" w:ascii="黑体" w:hAnsi="黑体" w:eastAsia="黑体" w:cs="宋体"/>
          <w:b/>
          <w:sz w:val="24"/>
          <w:szCs w:val="24"/>
        </w:rPr>
        <w:t>三、获取招标文件</w:t>
      </w:r>
      <w:bookmarkEnd w:id="10"/>
      <w:bookmarkEnd w:id="11"/>
      <w:bookmarkEnd w:id="12"/>
      <w:bookmarkEnd w:id="13"/>
    </w:p>
    <w:p w14:paraId="276176A2">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bookmarkStart w:id="14" w:name="_Toc28359005"/>
      <w:bookmarkStart w:id="15" w:name="_Toc28359082"/>
      <w:bookmarkStart w:id="16" w:name="_Toc35393624"/>
      <w:bookmarkStart w:id="17" w:name="_Toc35393793"/>
      <w:r>
        <w:rPr>
          <w:rFonts w:hint="eastAsia" w:ascii="仿宋" w:hAnsi="仿宋" w:eastAsia="仿宋" w:cs="Times New Roman"/>
          <w:b/>
          <w:sz w:val="24"/>
          <w:szCs w:val="24"/>
          <w:lang w:val="en-US" w:eastAsia="zh-CN"/>
        </w:rPr>
        <w:t>1、时间：2025年8月 日至2025年8月 日16:00止。</w:t>
      </w:r>
    </w:p>
    <w:p w14:paraId="2A7938AE">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2、地点：“政采云”平台(http：//www.zcygov.cn)。</w:t>
      </w:r>
    </w:p>
    <w:p w14:paraId="5674CD46">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3、方式：网上下载，供应商可自行在“政采云”平台(http：//www.zcygov.cn) 下载采购文件(操作路径：登录“政采云”平台-项目采购-获取采购文件-找到本项目-点击“申请获取采购文件”)，其他途径获取的采购文件开标时一律按无效投标处理。</w:t>
      </w:r>
    </w:p>
    <w:p w14:paraId="0FF11F41">
      <w:pPr>
        <w:pageBreakBefore w:val="0"/>
        <w:kinsoku/>
        <w:overflowPunct/>
        <w:topLinePunct w:val="0"/>
        <w:bidi w:val="0"/>
        <w:snapToGrid/>
        <w:spacing w:line="360" w:lineRule="auto"/>
        <w:ind w:firstLine="549" w:firstLineChars="228"/>
        <w:textAlignment w:val="auto"/>
        <w:rPr>
          <w:rFonts w:hint="eastAsia" w:ascii="仿宋" w:hAnsi="仿宋" w:eastAsia="仿宋" w:cs="宋体"/>
          <w:b/>
          <w:sz w:val="24"/>
          <w:szCs w:val="24"/>
        </w:rPr>
      </w:pPr>
      <w:r>
        <w:rPr>
          <w:rFonts w:hint="eastAsia" w:ascii="仿宋" w:hAnsi="仿宋" w:eastAsia="仿宋" w:cs="Times New Roman"/>
          <w:b/>
          <w:sz w:val="24"/>
          <w:szCs w:val="24"/>
          <w:lang w:val="en-US" w:eastAsia="zh-CN"/>
        </w:rPr>
        <w:t>4、售价：0元。</w:t>
      </w:r>
    </w:p>
    <w:p w14:paraId="6A54C8B5">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r>
        <w:rPr>
          <w:rFonts w:hint="eastAsia" w:ascii="黑体" w:hAnsi="黑体" w:eastAsia="黑体" w:cs="宋体"/>
          <w:b/>
          <w:sz w:val="24"/>
          <w:szCs w:val="24"/>
        </w:rPr>
        <w:t>四、提交投标文件</w:t>
      </w:r>
      <w:bookmarkEnd w:id="14"/>
      <w:bookmarkEnd w:id="15"/>
      <w:r>
        <w:rPr>
          <w:rFonts w:hint="eastAsia" w:ascii="黑体" w:hAnsi="黑体" w:eastAsia="黑体" w:cs="宋体"/>
          <w:b/>
          <w:sz w:val="24"/>
          <w:szCs w:val="24"/>
        </w:rPr>
        <w:t>截止时间、开标时间和地点</w:t>
      </w:r>
      <w:bookmarkEnd w:id="16"/>
      <w:bookmarkEnd w:id="17"/>
    </w:p>
    <w:p w14:paraId="5C0ACC76">
      <w:pPr>
        <w:pageBreakBefore w:val="0"/>
        <w:kinsoku/>
        <w:overflowPunct/>
        <w:topLinePunct w:val="0"/>
        <w:bidi w:val="0"/>
        <w:snapToGrid/>
        <w:spacing w:line="360" w:lineRule="auto"/>
        <w:ind w:firstLine="482" w:firstLineChars="200"/>
        <w:textAlignment w:val="auto"/>
        <w:rPr>
          <w:rFonts w:ascii="仿宋" w:hAnsi="仿宋" w:eastAsia="仿宋"/>
          <w:b/>
          <w:sz w:val="24"/>
          <w:szCs w:val="24"/>
        </w:rPr>
      </w:pPr>
      <w:r>
        <w:rPr>
          <w:rFonts w:hint="eastAsia" w:ascii="仿宋" w:hAnsi="仿宋" w:eastAsia="仿宋"/>
          <w:b/>
          <w:sz w:val="24"/>
          <w:szCs w:val="24"/>
        </w:rPr>
        <w:t>202</w:t>
      </w:r>
      <w:r>
        <w:rPr>
          <w:rFonts w:hint="eastAsia" w:ascii="仿宋" w:hAnsi="仿宋" w:eastAsia="仿宋"/>
          <w:b/>
          <w:sz w:val="24"/>
          <w:szCs w:val="24"/>
          <w:lang w:val="en-US" w:eastAsia="zh-CN"/>
        </w:rPr>
        <w:t>5</w:t>
      </w:r>
      <w:r>
        <w:rPr>
          <w:rFonts w:hint="eastAsia" w:ascii="仿宋" w:hAnsi="仿宋" w:eastAsia="仿宋"/>
          <w:b/>
          <w:sz w:val="24"/>
          <w:szCs w:val="24"/>
        </w:rPr>
        <w:t>年</w:t>
      </w:r>
      <w:r>
        <w:rPr>
          <w:rFonts w:hint="eastAsia" w:ascii="仿宋" w:hAnsi="仿宋" w:eastAsia="仿宋"/>
          <w:b/>
          <w:sz w:val="24"/>
          <w:szCs w:val="24"/>
          <w:lang w:val="en-US" w:eastAsia="zh-CN"/>
        </w:rPr>
        <w:t>9</w:t>
      </w:r>
      <w:r>
        <w:rPr>
          <w:rFonts w:hint="eastAsia" w:ascii="仿宋" w:hAnsi="仿宋" w:eastAsia="仿宋"/>
          <w:b/>
          <w:sz w:val="24"/>
          <w:szCs w:val="24"/>
        </w:rPr>
        <w:t>月</w:t>
      </w:r>
      <w:r>
        <w:rPr>
          <w:rFonts w:hint="eastAsia" w:ascii="仿宋" w:hAnsi="仿宋" w:eastAsia="仿宋"/>
          <w:b/>
          <w:sz w:val="24"/>
          <w:szCs w:val="24"/>
          <w:lang w:val="en-US" w:eastAsia="zh-CN"/>
        </w:rPr>
        <w:t xml:space="preserve"> </w:t>
      </w:r>
      <w:r>
        <w:rPr>
          <w:rFonts w:hint="eastAsia" w:ascii="仿宋" w:hAnsi="仿宋" w:eastAsia="仿宋"/>
          <w:b/>
          <w:sz w:val="24"/>
          <w:szCs w:val="24"/>
        </w:rPr>
        <w:t>日</w:t>
      </w:r>
      <w:r>
        <w:rPr>
          <w:rFonts w:hint="eastAsia" w:ascii="仿宋" w:hAnsi="仿宋" w:eastAsia="仿宋"/>
          <w:b/>
          <w:sz w:val="24"/>
          <w:szCs w:val="24"/>
          <w:lang w:val="en-US" w:eastAsia="zh-CN"/>
        </w:rPr>
        <w:t>9</w:t>
      </w:r>
      <w:r>
        <w:rPr>
          <w:rFonts w:hint="eastAsia" w:ascii="仿宋" w:hAnsi="仿宋" w:eastAsia="仿宋"/>
          <w:b/>
          <w:sz w:val="24"/>
          <w:szCs w:val="24"/>
        </w:rPr>
        <w:t>点30分（北京时间）</w:t>
      </w:r>
    </w:p>
    <w:p w14:paraId="1309947A">
      <w:pPr>
        <w:pageBreakBefore w:val="0"/>
        <w:kinsoku/>
        <w:overflowPunct/>
        <w:topLinePunct w:val="0"/>
        <w:bidi w:val="0"/>
        <w:snapToGrid/>
        <w:spacing w:line="360" w:lineRule="auto"/>
        <w:ind w:firstLine="482" w:firstLineChars="200"/>
        <w:textAlignment w:val="auto"/>
        <w:rPr>
          <w:rFonts w:ascii="仿宋" w:hAnsi="仿宋" w:eastAsia="仿宋"/>
          <w:b/>
          <w:sz w:val="24"/>
          <w:szCs w:val="24"/>
        </w:rPr>
      </w:pPr>
      <w:r>
        <w:rPr>
          <w:rFonts w:hint="eastAsia" w:ascii="仿宋" w:hAnsi="仿宋" w:eastAsia="仿宋" w:cs="Times New Roman"/>
          <w:b/>
          <w:sz w:val="24"/>
          <w:szCs w:val="24"/>
        </w:rPr>
        <w:t>地点：“政采云”平台(http：//www.zcygov.cn)，逾期未上传电子响应文件，将不予受理。</w:t>
      </w:r>
    </w:p>
    <w:p w14:paraId="0902C7DA">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bookmarkStart w:id="18" w:name="_Toc28359084"/>
      <w:bookmarkStart w:id="19" w:name="_Toc28359007"/>
      <w:bookmarkStart w:id="20" w:name="_Toc35393625"/>
      <w:bookmarkStart w:id="21" w:name="_Toc35393794"/>
      <w:r>
        <w:rPr>
          <w:rFonts w:hint="eastAsia" w:ascii="黑体" w:hAnsi="黑体" w:eastAsia="黑体" w:cs="宋体"/>
          <w:b/>
          <w:sz w:val="24"/>
          <w:szCs w:val="24"/>
        </w:rPr>
        <w:t>五、公告期限</w:t>
      </w:r>
      <w:bookmarkEnd w:id="18"/>
      <w:bookmarkEnd w:id="19"/>
      <w:bookmarkEnd w:id="20"/>
      <w:bookmarkEnd w:id="21"/>
    </w:p>
    <w:p w14:paraId="1AF07E48">
      <w:pPr>
        <w:pageBreakBefore w:val="0"/>
        <w:kinsoku/>
        <w:overflowPunct/>
        <w:topLinePunct w:val="0"/>
        <w:bidi w:val="0"/>
        <w:snapToGrid/>
        <w:spacing w:line="360" w:lineRule="auto"/>
        <w:ind w:firstLine="482" w:firstLineChars="200"/>
        <w:textAlignment w:val="auto"/>
        <w:rPr>
          <w:rFonts w:ascii="仿宋" w:hAnsi="仿宋" w:eastAsia="仿宋" w:cs="宋体"/>
          <w:b/>
          <w:kern w:val="0"/>
          <w:sz w:val="24"/>
          <w:szCs w:val="24"/>
        </w:rPr>
      </w:pPr>
      <w:r>
        <w:rPr>
          <w:rFonts w:hint="eastAsia" w:ascii="仿宋" w:hAnsi="仿宋" w:eastAsia="仿宋" w:cs="宋体"/>
          <w:b/>
          <w:kern w:val="0"/>
          <w:sz w:val="24"/>
          <w:szCs w:val="24"/>
        </w:rPr>
        <w:t>自本公告发布之日起5个工作日。</w:t>
      </w:r>
    </w:p>
    <w:p w14:paraId="70E1FC6E">
      <w:pPr>
        <w:keepNext/>
        <w:keepLines/>
        <w:pageBreakBefore w:val="0"/>
        <w:numPr>
          <w:ilvl w:val="0"/>
          <w:numId w:val="1"/>
        </w:numPr>
        <w:kinsoku/>
        <w:overflowPunct/>
        <w:topLinePunct w:val="0"/>
        <w:bidi w:val="0"/>
        <w:snapToGrid/>
        <w:spacing w:before="260" w:after="260" w:line="360" w:lineRule="auto"/>
        <w:textAlignment w:val="auto"/>
        <w:outlineLvl w:val="1"/>
        <w:rPr>
          <w:rFonts w:hint="eastAsia" w:ascii="黑体" w:hAnsi="黑体" w:eastAsia="黑体" w:cs="宋体"/>
          <w:b/>
          <w:sz w:val="24"/>
          <w:szCs w:val="24"/>
        </w:rPr>
      </w:pPr>
      <w:bookmarkStart w:id="22" w:name="_Toc35393795"/>
      <w:bookmarkStart w:id="23" w:name="_Toc35393626"/>
      <w:r>
        <w:rPr>
          <w:rFonts w:hint="eastAsia" w:ascii="黑体" w:hAnsi="黑体" w:eastAsia="黑体" w:cs="宋体"/>
          <w:b/>
          <w:sz w:val="24"/>
          <w:szCs w:val="24"/>
        </w:rPr>
        <w:t>其他补充事宜</w:t>
      </w:r>
      <w:bookmarkEnd w:id="22"/>
      <w:bookmarkEnd w:id="23"/>
    </w:p>
    <w:p w14:paraId="4E3A8E20">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1.供应商在政府采购云平台网注册入库成为正式供应商后，在平台上按《政府采购项目电子交易管理操作指南-供应商》进行投标操作。投标人须办理数字证书方可参加投标。</w:t>
      </w:r>
    </w:p>
    <w:p w14:paraId="04BA82F9">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2.CA锁办理网址：请供应商自行办理CA锁，收到 CA锁以后在“政采云”登陆界面，点击 CA 登录-CA 驱动下载-下载并安装政采云投标客户端和驱动，账号绑定CA后才能进行响应文件制作。</w:t>
      </w:r>
    </w:p>
    <w:p w14:paraId="6877ABEA">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3.收到CA锁以后在“政采云”登陆界面，点击CA登录-CA驱动下载-下载并安装政采云投标客户端和CA驱动，账号绑定CA后才能进行</w:t>
      </w:r>
      <w:r>
        <w:rPr>
          <w:rFonts w:hint="eastAsia" w:ascii="仿宋" w:hAnsi="仿宋" w:eastAsia="仿宋" w:cs="宋体"/>
          <w:b/>
          <w:kern w:val="0"/>
          <w:sz w:val="24"/>
          <w:szCs w:val="24"/>
          <w:lang w:eastAsia="zh-CN"/>
        </w:rPr>
        <w:t>响应文件</w:t>
      </w:r>
      <w:r>
        <w:rPr>
          <w:rFonts w:hint="eastAsia" w:ascii="仿宋" w:hAnsi="仿宋" w:eastAsia="仿宋" w:cs="宋体"/>
          <w:b/>
          <w:kern w:val="0"/>
          <w:sz w:val="24"/>
          <w:szCs w:val="24"/>
        </w:rPr>
        <w:t>制作。</w:t>
      </w:r>
    </w:p>
    <w:p w14:paraId="18C25023">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4.若对项目采购电子交易系统操作有疑问，可登录“政采云”平台，点击右侧咨询小采，获取采小蜜智能服务管家帮助，或拨打政采云服务热线95763获取帮助。</w:t>
      </w:r>
    </w:p>
    <w:p w14:paraId="6B61C1FF">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5.有效投标人不足三家时，采购人另行组织招标。</w:t>
      </w:r>
    </w:p>
    <w:p w14:paraId="3B2EB0F3">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6.当投标人的有效投标报价超出招标控制价（预算金额、拦标价）的，该投标报价视为无效报价。</w:t>
      </w:r>
    </w:p>
    <w:p w14:paraId="3168529A">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bookmarkStart w:id="24" w:name="_Toc28359008"/>
      <w:bookmarkStart w:id="25" w:name="_Toc35393627"/>
      <w:bookmarkStart w:id="26" w:name="_Toc28359085"/>
      <w:bookmarkStart w:id="27" w:name="_Toc35393796"/>
      <w:r>
        <w:rPr>
          <w:rFonts w:hint="eastAsia" w:ascii="仿宋" w:hAnsi="仿宋" w:eastAsia="仿宋" w:cs="宋体"/>
          <w:b/>
          <w:kern w:val="0"/>
          <w:sz w:val="24"/>
          <w:szCs w:val="24"/>
          <w:lang w:val="en-US" w:eastAsia="zh-CN"/>
        </w:rPr>
        <w:t>7</w:t>
      </w:r>
      <w:r>
        <w:rPr>
          <w:rFonts w:hint="eastAsia" w:ascii="仿宋" w:hAnsi="仿宋" w:eastAsia="仿宋" w:cs="宋体"/>
          <w:b/>
          <w:kern w:val="0"/>
          <w:sz w:val="24"/>
          <w:szCs w:val="24"/>
        </w:rPr>
        <w:t>.本次竞争性磋商公告在“政采云”平台(http：//www.zcygov.cn)（同步推送到吉林省政府采购网、中国政府采购网）、中国招标投标公共服务平台上同时发布。</w:t>
      </w:r>
    </w:p>
    <w:p w14:paraId="3156E5D3">
      <w:pPr>
        <w:pageBreakBefore w:val="0"/>
        <w:kinsoku/>
        <w:overflowPunct/>
        <w:topLinePunct w:val="0"/>
        <w:bidi w:val="0"/>
        <w:snapToGrid/>
        <w:spacing w:line="360" w:lineRule="auto"/>
        <w:ind w:firstLine="482" w:firstLineChars="200"/>
        <w:textAlignment w:val="auto"/>
        <w:rPr>
          <w:rFonts w:hint="default" w:ascii="仿宋" w:hAnsi="仿宋" w:eastAsia="仿宋" w:cs="宋体"/>
          <w:b/>
          <w:kern w:val="0"/>
          <w:sz w:val="24"/>
          <w:szCs w:val="24"/>
          <w:lang w:val="en-US" w:eastAsia="zh-CN"/>
        </w:rPr>
      </w:pPr>
      <w:r>
        <w:rPr>
          <w:rFonts w:hint="eastAsia" w:ascii="仿宋" w:hAnsi="仿宋" w:eastAsia="仿宋" w:cs="宋体"/>
          <w:b/>
          <w:kern w:val="0"/>
          <w:sz w:val="24"/>
          <w:szCs w:val="24"/>
          <w:lang w:val="en-US" w:eastAsia="zh-CN"/>
        </w:rPr>
        <w:t>8.</w:t>
      </w:r>
      <w:r>
        <w:rPr>
          <w:rFonts w:hint="eastAsia" w:ascii="仿宋" w:hAnsi="仿宋" w:eastAsia="仿宋"/>
          <w:b/>
          <w:sz w:val="24"/>
          <w:szCs w:val="24"/>
        </w:rPr>
        <w:t>投标保证金：投标申请人在提交投标文件时，需按照有关规定提供人民币</w:t>
      </w:r>
      <w:r>
        <w:rPr>
          <w:rFonts w:hint="eastAsia" w:ascii="仿宋" w:hAnsi="仿宋" w:eastAsia="仿宋"/>
          <w:b/>
          <w:sz w:val="24"/>
          <w:szCs w:val="24"/>
          <w:u w:val="single"/>
          <w:lang w:val="en-US" w:eastAsia="zh-CN"/>
        </w:rPr>
        <w:t>4</w:t>
      </w:r>
      <w:r>
        <w:rPr>
          <w:rFonts w:hint="eastAsia" w:ascii="仿宋" w:hAnsi="仿宋" w:eastAsia="仿宋"/>
          <w:b/>
          <w:sz w:val="24"/>
          <w:szCs w:val="24"/>
          <w:u w:val="single"/>
        </w:rPr>
        <w:t>万元</w:t>
      </w:r>
      <w:r>
        <w:rPr>
          <w:rFonts w:hint="eastAsia" w:ascii="仿宋" w:hAnsi="仿宋" w:eastAsia="仿宋"/>
          <w:b/>
          <w:sz w:val="24"/>
          <w:szCs w:val="24"/>
        </w:rPr>
        <w:t>的投标保证金，保证金必须从申请人基本账户转出；保证金交纳银行：</w:t>
      </w:r>
      <w:r>
        <w:rPr>
          <w:rFonts w:hint="eastAsia" w:ascii="仿宋" w:hAnsi="仿宋" w:eastAsia="仿宋" w:cs="Times New Roman"/>
          <w:b/>
          <w:sz w:val="24"/>
          <w:szCs w:val="24"/>
          <w:lang w:eastAsia="zh-CN"/>
        </w:rPr>
        <w:t>中国建设银行吉林市中东支行，</w:t>
      </w:r>
      <w:r>
        <w:rPr>
          <w:rFonts w:hint="eastAsia" w:ascii="仿宋" w:hAnsi="仿宋" w:eastAsia="仿宋" w:cs="Times New Roman"/>
          <w:b/>
          <w:sz w:val="24"/>
          <w:szCs w:val="24"/>
        </w:rPr>
        <w:t>账户名称：</w:t>
      </w:r>
      <w:r>
        <w:rPr>
          <w:rFonts w:hint="eastAsia" w:ascii="仿宋" w:hAnsi="仿宋" w:eastAsia="仿宋" w:cs="Times New Roman"/>
          <w:b/>
          <w:sz w:val="24"/>
          <w:szCs w:val="24"/>
          <w:lang w:eastAsia="zh-CN"/>
        </w:rPr>
        <w:t>吉林公信建设项目管理有限公司</w:t>
      </w:r>
      <w:r>
        <w:rPr>
          <w:rFonts w:hint="eastAsia" w:ascii="仿宋" w:hAnsi="仿宋" w:eastAsia="仿宋" w:cs="Times New Roman"/>
          <w:b/>
          <w:sz w:val="24"/>
          <w:szCs w:val="24"/>
        </w:rPr>
        <w:t>，账号：22050161890100000151。</w:t>
      </w:r>
    </w:p>
    <w:p w14:paraId="78BEB174">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r>
        <w:rPr>
          <w:rFonts w:hint="eastAsia" w:ascii="黑体" w:hAnsi="黑体" w:eastAsia="黑体" w:cs="宋体"/>
          <w:b/>
          <w:sz w:val="24"/>
          <w:szCs w:val="24"/>
        </w:rPr>
        <w:t>七、对本次招标提出询问，请按</w:t>
      </w:r>
      <w:r>
        <w:rPr>
          <w:rFonts w:ascii="黑体" w:hAnsi="黑体" w:eastAsia="黑体" w:cs="宋体"/>
          <w:b/>
          <w:sz w:val="24"/>
          <w:szCs w:val="24"/>
        </w:rPr>
        <w:t>以下方式</w:t>
      </w:r>
      <w:r>
        <w:rPr>
          <w:rFonts w:hint="eastAsia" w:ascii="黑体" w:hAnsi="黑体" w:eastAsia="黑体" w:cs="宋体"/>
          <w:b/>
          <w:sz w:val="24"/>
          <w:szCs w:val="24"/>
        </w:rPr>
        <w:t>联系。</w:t>
      </w:r>
      <w:bookmarkEnd w:id="24"/>
      <w:bookmarkEnd w:id="25"/>
      <w:bookmarkEnd w:id="26"/>
      <w:bookmarkEnd w:id="27"/>
    </w:p>
    <w:p w14:paraId="4F828664">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1.采购人信息</w:t>
      </w:r>
    </w:p>
    <w:p w14:paraId="4155E715">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bookmarkStart w:id="28" w:name="_Toc28359009"/>
      <w:bookmarkStart w:id="29" w:name="_Toc28359086"/>
      <w:r>
        <w:rPr>
          <w:rFonts w:hint="eastAsia" w:ascii="仿宋" w:hAnsi="仿宋" w:eastAsia="仿宋"/>
          <w:b/>
          <w:sz w:val="24"/>
          <w:szCs w:val="24"/>
        </w:rPr>
        <w:t>招标人：</w:t>
      </w:r>
      <w:r>
        <w:rPr>
          <w:rFonts w:hint="eastAsia" w:ascii="仿宋" w:hAnsi="仿宋" w:eastAsia="仿宋" w:cs="Times New Roman"/>
          <w:b/>
          <w:sz w:val="24"/>
          <w:szCs w:val="24"/>
          <w:lang w:val="en-US" w:eastAsia="zh-CN"/>
        </w:rPr>
        <w:t>吉林市住房和城乡建设局</w:t>
      </w:r>
    </w:p>
    <w:p w14:paraId="4234E6F8">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rPr>
        <w:t>地址：</w:t>
      </w:r>
      <w:r>
        <w:rPr>
          <w:rFonts w:hint="eastAsia" w:ascii="仿宋" w:hAnsi="仿宋" w:eastAsia="仿宋" w:cs="Times New Roman"/>
          <w:b/>
          <w:sz w:val="24"/>
          <w:szCs w:val="24"/>
          <w:lang w:val="en-US" w:eastAsia="zh-CN"/>
        </w:rPr>
        <w:t>吉林市</w:t>
      </w:r>
      <w:r>
        <w:rPr>
          <w:rFonts w:hint="eastAsia" w:ascii="仿宋" w:hAnsi="仿宋" w:eastAsia="仿宋" w:cs="Times New Roman"/>
          <w:b/>
          <w:sz w:val="24"/>
          <w:szCs w:val="24"/>
        </w:rPr>
        <w:t>松江东路7号</w:t>
      </w:r>
    </w:p>
    <w:p w14:paraId="4A53B1D8">
      <w:pPr>
        <w:pageBreakBefore w:val="0"/>
        <w:kinsoku/>
        <w:overflowPunct/>
        <w:topLinePunct w:val="0"/>
        <w:bidi w:val="0"/>
        <w:snapToGrid/>
        <w:spacing w:line="360" w:lineRule="auto"/>
        <w:ind w:firstLine="549" w:firstLineChars="228"/>
        <w:textAlignment w:val="auto"/>
        <w:rPr>
          <w:rFonts w:hint="default" w:ascii="仿宋" w:hAnsi="仿宋" w:eastAsia="仿宋" w:cs="Times New Roman"/>
          <w:b/>
          <w:sz w:val="24"/>
          <w:szCs w:val="24"/>
          <w:lang w:val="en-US" w:eastAsia="zh-CN"/>
        </w:rPr>
      </w:pPr>
      <w:r>
        <w:rPr>
          <w:rFonts w:hint="eastAsia" w:ascii="仿宋" w:hAnsi="仿宋" w:eastAsia="仿宋" w:cs="Times New Roman"/>
          <w:b/>
          <w:sz w:val="24"/>
          <w:szCs w:val="24"/>
        </w:rPr>
        <w:t>联系人：</w:t>
      </w:r>
      <w:r>
        <w:rPr>
          <w:rFonts w:hint="eastAsia" w:ascii="仿宋" w:hAnsi="仿宋" w:eastAsia="仿宋" w:cs="Times New Roman"/>
          <w:b/>
          <w:sz w:val="24"/>
          <w:szCs w:val="24"/>
          <w:lang w:val="en-US" w:eastAsia="zh-CN"/>
        </w:rPr>
        <w:t xml:space="preserve">冯承  </w:t>
      </w:r>
      <w:r>
        <w:rPr>
          <w:rFonts w:hint="eastAsia" w:ascii="仿宋" w:hAnsi="仿宋" w:eastAsia="仿宋" w:cs="Times New Roman"/>
          <w:b/>
          <w:sz w:val="24"/>
          <w:szCs w:val="24"/>
        </w:rPr>
        <w:t xml:space="preserve"> </w:t>
      </w:r>
      <w:r>
        <w:rPr>
          <w:rFonts w:hint="eastAsia" w:ascii="仿宋" w:hAnsi="仿宋" w:eastAsia="仿宋" w:cs="Times New Roman"/>
          <w:b/>
          <w:sz w:val="24"/>
          <w:szCs w:val="24"/>
          <w:lang w:val="en-US" w:eastAsia="zh-CN"/>
        </w:rPr>
        <w:t xml:space="preserve">    </w:t>
      </w:r>
      <w:r>
        <w:rPr>
          <w:rFonts w:hint="eastAsia" w:ascii="仿宋" w:hAnsi="仿宋" w:eastAsia="仿宋" w:cs="Times New Roman"/>
          <w:b/>
          <w:sz w:val="24"/>
          <w:szCs w:val="24"/>
        </w:rPr>
        <w:t>电话</w:t>
      </w:r>
      <w:r>
        <w:rPr>
          <w:rFonts w:hint="eastAsia" w:ascii="仿宋" w:hAnsi="仿宋" w:eastAsia="仿宋" w:cs="Times New Roman"/>
          <w:b/>
          <w:sz w:val="24"/>
          <w:szCs w:val="24"/>
          <w:lang w:eastAsia="zh-CN"/>
        </w:rPr>
        <w:t>：</w:t>
      </w:r>
      <w:r>
        <w:rPr>
          <w:rFonts w:hint="eastAsia" w:ascii="仿宋" w:hAnsi="仿宋" w:eastAsia="仿宋" w:cs="Times New Roman"/>
          <w:b/>
          <w:sz w:val="24"/>
          <w:szCs w:val="24"/>
          <w:lang w:val="en-US" w:eastAsia="zh-CN"/>
        </w:rPr>
        <w:t>17304325566</w:t>
      </w:r>
    </w:p>
    <w:p w14:paraId="3E88EB5F">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2.采购代理机构信息</w:t>
      </w:r>
      <w:bookmarkEnd w:id="28"/>
      <w:bookmarkEnd w:id="29"/>
    </w:p>
    <w:p w14:paraId="6FD5EED9">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名 称：</w:t>
      </w:r>
      <w:r>
        <w:rPr>
          <w:rFonts w:hint="eastAsia" w:ascii="仿宋" w:hAnsi="仿宋" w:eastAsia="仿宋"/>
          <w:b/>
          <w:sz w:val="24"/>
          <w:szCs w:val="24"/>
          <w:lang w:eastAsia="zh-CN"/>
        </w:rPr>
        <w:t>吉林公信建设项目管理有限公司</w:t>
      </w:r>
    </w:p>
    <w:p w14:paraId="79DFEE17">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地　址：吉林市</w:t>
      </w:r>
      <w:r>
        <w:rPr>
          <w:rFonts w:hint="eastAsia" w:ascii="仿宋" w:hAnsi="仿宋" w:eastAsia="仿宋"/>
          <w:b/>
          <w:sz w:val="24"/>
          <w:szCs w:val="24"/>
          <w:lang w:eastAsia="zh-CN"/>
        </w:rPr>
        <w:t>昌邑区</w:t>
      </w:r>
      <w:r>
        <w:rPr>
          <w:rFonts w:hint="eastAsia" w:ascii="仿宋" w:hAnsi="仿宋" w:eastAsia="仿宋"/>
          <w:b/>
          <w:sz w:val="24"/>
          <w:szCs w:val="24"/>
        </w:rPr>
        <w:t xml:space="preserve">望云北街17号 </w:t>
      </w:r>
    </w:p>
    <w:p w14:paraId="050333EC">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联系方式：</w:t>
      </w:r>
      <w:bookmarkStart w:id="30" w:name="_Toc28359010"/>
      <w:bookmarkStart w:id="31" w:name="_Toc28359087"/>
      <w:r>
        <w:rPr>
          <w:rFonts w:hint="eastAsia" w:ascii="仿宋" w:hAnsi="仿宋" w:eastAsia="仿宋"/>
          <w:b/>
          <w:sz w:val="24"/>
          <w:szCs w:val="24"/>
          <w:lang w:val="en-US" w:eastAsia="zh-CN"/>
        </w:rPr>
        <w:t>宿苑</w:t>
      </w:r>
      <w:r>
        <w:rPr>
          <w:rFonts w:hint="eastAsia" w:ascii="仿宋" w:hAnsi="仿宋" w:eastAsia="仿宋"/>
          <w:b/>
          <w:sz w:val="24"/>
          <w:szCs w:val="24"/>
        </w:rPr>
        <w:t xml:space="preserve">      电话：0432-62086186</w:t>
      </w:r>
    </w:p>
    <w:p w14:paraId="5DD5D2FA">
      <w:pPr>
        <w:pageBreakBefore w:val="0"/>
        <w:kinsoku/>
        <w:overflowPunct/>
        <w:topLinePunct w:val="0"/>
        <w:bidi w:val="0"/>
        <w:snapToGrid/>
        <w:spacing w:line="360" w:lineRule="auto"/>
        <w:ind w:firstLine="549" w:firstLineChars="228"/>
        <w:textAlignment w:val="auto"/>
        <w:rPr>
          <w:rFonts w:ascii="仿宋" w:hAnsi="仿宋" w:eastAsia="仿宋"/>
          <w:b/>
          <w:sz w:val="24"/>
          <w:szCs w:val="24"/>
          <w:u w:val="single"/>
        </w:rPr>
      </w:pPr>
      <w:r>
        <w:rPr>
          <w:rFonts w:hint="eastAsia" w:ascii="仿宋" w:hAnsi="仿宋" w:eastAsia="仿宋" w:cs="宋体"/>
          <w:b/>
          <w:sz w:val="24"/>
          <w:szCs w:val="24"/>
        </w:rPr>
        <w:t>3.项目</w:t>
      </w:r>
      <w:r>
        <w:rPr>
          <w:rFonts w:ascii="仿宋" w:hAnsi="仿宋" w:eastAsia="仿宋" w:cs="宋体"/>
          <w:b/>
          <w:sz w:val="24"/>
          <w:szCs w:val="24"/>
        </w:rPr>
        <w:t>联系方式</w:t>
      </w:r>
      <w:bookmarkEnd w:id="30"/>
      <w:bookmarkEnd w:id="31"/>
    </w:p>
    <w:p w14:paraId="0703166D">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lang w:eastAsia="zh-CN"/>
        </w:rPr>
      </w:pPr>
      <w:r>
        <w:rPr>
          <w:rFonts w:hint="eastAsia" w:ascii="仿宋" w:hAnsi="仿宋" w:eastAsia="仿宋"/>
          <w:b/>
          <w:sz w:val="24"/>
          <w:szCs w:val="24"/>
        </w:rPr>
        <w:t>项目联系人：</w:t>
      </w:r>
      <w:r>
        <w:rPr>
          <w:rFonts w:hint="eastAsia" w:ascii="仿宋" w:hAnsi="仿宋" w:eastAsia="仿宋"/>
          <w:b/>
          <w:sz w:val="24"/>
          <w:szCs w:val="24"/>
          <w:lang w:val="en-US" w:eastAsia="zh-CN"/>
        </w:rPr>
        <w:t>宿苑</w:t>
      </w:r>
    </w:p>
    <w:p w14:paraId="229BFF43">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电　话：0432-62086186</w:t>
      </w:r>
    </w:p>
    <w:p w14:paraId="32E32163">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rPr>
      </w:pPr>
      <w:r>
        <w:rPr>
          <w:rFonts w:hint="eastAsia" w:ascii="仿宋" w:hAnsi="仿宋" w:eastAsia="仿宋" w:cs="Times New Roman"/>
          <w:b/>
          <w:sz w:val="24"/>
          <w:szCs w:val="24"/>
        </w:rPr>
        <w:t>4.招标监督管理部门：吉林市财政局政府采购管理工作办公室</w:t>
      </w:r>
    </w:p>
    <w:p w14:paraId="14150CA9">
      <w:pPr>
        <w:shd w:val="clear" w:color="auto" w:fill="auto"/>
        <w:rPr>
          <w:rFonts w:hint="eastAsia"/>
          <w:highlight w:val="none"/>
        </w:rPr>
      </w:pPr>
    </w:p>
    <w:p w14:paraId="62EBA191">
      <w:pPr>
        <w:shd w:val="clear" w:color="auto" w:fill="auto"/>
        <w:rPr>
          <w:rFonts w:hint="eastAsia"/>
          <w:highlight w:val="none"/>
        </w:rPr>
      </w:pPr>
    </w:p>
    <w:p w14:paraId="4C4F205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D50F7"/>
    <w:multiLevelType w:val="singleLevel"/>
    <w:tmpl w:val="AE3D50F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25772"/>
    <w:rsid w:val="0E213595"/>
    <w:rsid w:val="143C343D"/>
    <w:rsid w:val="16885900"/>
    <w:rsid w:val="1FAB0A8F"/>
    <w:rsid w:val="21A875E0"/>
    <w:rsid w:val="347E456C"/>
    <w:rsid w:val="434F0443"/>
    <w:rsid w:val="45D85B67"/>
    <w:rsid w:val="4E850579"/>
    <w:rsid w:val="505C33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2174</Words>
  <Characters>2533</Characters>
  <Lines>0</Lines>
  <Paragraphs>0</Paragraphs>
  <TotalTime>1</TotalTime>
  <ScaleCrop>false</ScaleCrop>
  <LinksUpToDate>false</LinksUpToDate>
  <CharactersWithSpaces>2563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2025-08-15T07:31:18Z</dcterms:created>
  <dc:creator>Administrator</dc:creator>
  <cp:lastModifiedBy>孙健</cp:lastModifiedBy>
  <dcterms:modified xsi:type="dcterms:W3CDTF">2025-08-18T06:23:57Z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eyJoZGlkIjoiODY2OWE2MWU4MjdmYjI1MWZhYmY3YzQ4NmUxNDY3ODkiLCJ1c2VySWQiOiIxNTY4MTU5OSJ9</vt:lpwstr>
  </property>
  <property fmtid="{D5CDD505-2E9C-101B-9397-08002B2CF9AE}" pid="4" name="ICV">
    <vt:lpwstr>2B95605F9951451E96199ED52B2FED56_13</vt:lpwstr>
  </property>
</Properties>
</file>